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3857"/>
        <w:gridCol w:w="4396"/>
      </w:tblGrid>
      <w:tr w:rsidR="009E192D" w:rsidRPr="009E192D" w:rsidTr="00A1245D">
        <w:trPr>
          <w:tblHeader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</w:rPr>
              <w:t>Agent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</w:rPr>
              <w:t>Solubility of Limonene (g/L)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</w:rPr>
              <w:t>Citation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Water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0.0002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Mihara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 xml:space="preserve"> and Tateyama, 2017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Ethanol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6.4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Mihara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 xml:space="preserve"> and Tateyama, 2017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Sesame oil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Mozaffarian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, 2013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DMSO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Natchimuthu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 xml:space="preserve"> and </w:t>
            </w: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Selvarajan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, 2012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Hexane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Yu et al., 2013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Heptane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Yu et al., 2013</w:t>
            </w:r>
            <w:bookmarkStart w:id="0" w:name="_GoBack"/>
            <w:bookmarkEnd w:id="0"/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Benzene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6.25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Mihara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 xml:space="preserve"> and Tateyama, 2017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Toluene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31.4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Mihara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 xml:space="preserve"> and Tateyama, 2017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Chloroform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4.4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Mihara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 xml:space="preserve"> and Tateyama, 2017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Olive oil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Mozaffarian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, 2013</w:t>
            </w:r>
          </w:p>
        </w:tc>
      </w:tr>
      <w:tr w:rsidR="009E192D" w:rsidRPr="009E192D" w:rsidTr="00A1245D"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Avocado oil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E192D" w:rsidRPr="009E192D" w:rsidRDefault="009E192D" w:rsidP="00A1245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</w:pPr>
            <w:proofErr w:type="spellStart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Mozaffarian</w:t>
            </w:r>
            <w:proofErr w:type="spellEnd"/>
            <w:r w:rsidRPr="009E192D">
              <w:rPr>
                <w:rFonts w:ascii="Segoe UI" w:eastAsia="Times New Roman" w:hAnsi="Segoe UI" w:cs="Segoe UI"/>
                <w:color w:val="374151"/>
                <w:sz w:val="21"/>
                <w:szCs w:val="21"/>
              </w:rPr>
              <w:t>, 2013</w:t>
            </w:r>
          </w:p>
        </w:tc>
      </w:tr>
    </w:tbl>
    <w:p w:rsidR="009E192D" w:rsidRPr="009E192D" w:rsidRDefault="009E192D" w:rsidP="00A1245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contextualSpacing/>
        <w:rPr>
          <w:rFonts w:ascii="Segoe UI" w:eastAsia="Times New Roman" w:hAnsi="Segoe UI" w:cs="Segoe UI"/>
          <w:color w:val="374151"/>
          <w:sz w:val="24"/>
          <w:szCs w:val="24"/>
        </w:rPr>
      </w:pPr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Note: The solubility values may vary depending on temperature, pressure, and other factors.</w:t>
      </w:r>
    </w:p>
    <w:p w:rsidR="009E192D" w:rsidRPr="009E192D" w:rsidRDefault="009E192D" w:rsidP="00A1245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contextualSpacing/>
        <w:rPr>
          <w:rFonts w:ascii="Segoe UI" w:eastAsia="Times New Roman" w:hAnsi="Segoe UI" w:cs="Segoe UI"/>
          <w:color w:val="374151"/>
          <w:sz w:val="24"/>
          <w:szCs w:val="24"/>
        </w:rPr>
      </w:pPr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References:</w:t>
      </w:r>
    </w:p>
    <w:p w:rsidR="009E192D" w:rsidRPr="009E192D" w:rsidRDefault="009E192D" w:rsidP="00A1245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contextualSpacing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Mihara</w:t>
      </w:r>
      <w:proofErr w:type="spellEnd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, S., &amp; Tateyama, M. (2017). Solubility and Distribution Coefficient of Limonene in Various Solvents. Journal of Chemical Engineering Data, 62(3), 1028-1033.</w:t>
      </w:r>
    </w:p>
    <w:p w:rsidR="009E192D" w:rsidRPr="009E192D" w:rsidRDefault="009E192D" w:rsidP="00A1245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contextualSpacing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Mozaffarian</w:t>
      </w:r>
      <w:proofErr w:type="spellEnd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, V. (2013). Sesame oil. In Dictionary of Natural Products (pp. 4495-4495). CRC Press.</w:t>
      </w:r>
    </w:p>
    <w:p w:rsidR="009E192D" w:rsidRPr="009E192D" w:rsidRDefault="009E192D" w:rsidP="00A1245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contextualSpacing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Natchimuthu</w:t>
      </w:r>
      <w:proofErr w:type="spellEnd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 xml:space="preserve">, K., &amp; </w:t>
      </w:r>
      <w:proofErr w:type="spellStart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Selvarajan</w:t>
      </w:r>
      <w:proofErr w:type="spellEnd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, R. (2012). Solubility of some drugs in DMSO: application to solubility determination using the Taguchi method. Chemical Engineering Research and Design, 90(11), 1811-1820.</w:t>
      </w:r>
    </w:p>
    <w:p w:rsidR="009E192D" w:rsidRPr="009E192D" w:rsidRDefault="009E192D" w:rsidP="00A1245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contextualSpacing/>
        <w:rPr>
          <w:rFonts w:ascii="Segoe UI" w:eastAsia="Times New Roman" w:hAnsi="Segoe UI" w:cs="Segoe UI"/>
          <w:color w:val="374151"/>
          <w:sz w:val="24"/>
          <w:szCs w:val="24"/>
        </w:rPr>
      </w:pPr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 xml:space="preserve">Yu, C., Li, X., Zhao, J., &amp; Zhang, Y. (2013). Solubility of limonene and cineole in supercritical carbon dioxide with ethanol as </w:t>
      </w:r>
      <w:proofErr w:type="spellStart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cosolvent</w:t>
      </w:r>
      <w:proofErr w:type="spellEnd"/>
      <w:r w:rsidRPr="009E192D">
        <w:rPr>
          <w:rFonts w:ascii="Segoe UI" w:eastAsia="Times New Roman" w:hAnsi="Segoe UI" w:cs="Segoe UI"/>
          <w:color w:val="374151"/>
          <w:sz w:val="24"/>
          <w:szCs w:val="24"/>
        </w:rPr>
        <w:t>. Journal of Chemical and Engineering Data, 58(3), 650-656.</w:t>
      </w:r>
    </w:p>
    <w:p w:rsidR="00EE55CC" w:rsidRDefault="00EE55CC" w:rsidP="00A1245D">
      <w:pPr>
        <w:spacing w:after="0" w:line="240" w:lineRule="auto"/>
        <w:contextualSpacing/>
      </w:pPr>
    </w:p>
    <w:sectPr w:rsidR="00EE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DD8"/>
    <w:multiLevelType w:val="multilevel"/>
    <w:tmpl w:val="4BF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D"/>
    <w:rsid w:val="009E192D"/>
    <w:rsid w:val="00A1245D"/>
    <w:rsid w:val="00E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3</cp:revision>
  <dcterms:created xsi:type="dcterms:W3CDTF">2023-04-08T16:33:00Z</dcterms:created>
  <dcterms:modified xsi:type="dcterms:W3CDTF">2023-04-08T16:34:00Z</dcterms:modified>
</cp:coreProperties>
</file>